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ECBF" w14:textId="234EBB84" w:rsidR="007D173A" w:rsidRPr="003465A1" w:rsidRDefault="00524033" w:rsidP="00C84C81">
      <w:pPr>
        <w:pStyle w:val="Heading1"/>
      </w:pPr>
      <w:bookmarkStart w:id="0" w:name="_Hlk96602863"/>
      <w:r>
        <w:rPr>
          <w:b/>
          <w:bCs w:val="0"/>
        </w:rPr>
        <w:t>Addressable Spend</w:t>
      </w:r>
      <w:bookmarkEnd w:id="0"/>
      <w:r>
        <w:rPr>
          <w:b/>
          <w:bCs w:val="0"/>
        </w:rPr>
        <w:t xml:space="preserve"> under the Queensland Indigenous (Aboriginal and Torres Strait Islander) Procurement Policy (QIPP)</w:t>
      </w:r>
    </w:p>
    <w:p w14:paraId="648F3479" w14:textId="4725C93C" w:rsidR="003D511D" w:rsidRPr="00BD772D" w:rsidRDefault="00524033" w:rsidP="00BD772D">
      <w:pPr>
        <w:pStyle w:val="Heading2"/>
      </w:pPr>
      <w:r w:rsidRPr="00BD772D">
        <w:t>Aim of QIPP</w:t>
      </w:r>
    </w:p>
    <w:p w14:paraId="0BCCCE15" w14:textId="2094964E" w:rsidR="00524033" w:rsidRDefault="003E65BD" w:rsidP="00524033">
      <w:r>
        <w:t>The QIPP sets a target for Queensland Government spen</w:t>
      </w:r>
      <w:r w:rsidR="008D774E">
        <w:t xml:space="preserve">d </w:t>
      </w:r>
      <w:r>
        <w:t xml:space="preserve">with Aboriginal and Torres Strait Islander owned businesses to three per cent by 2022. </w:t>
      </w:r>
      <w:r w:rsidR="00524033">
        <w:t xml:space="preserve">The QIPP recognises that an agency-led, category-management approach will ensure procurement officers can determine how their agency can contribute to increasing the value of </w:t>
      </w:r>
      <w:r w:rsidR="00524033">
        <w:rPr>
          <w:b/>
          <w:bCs/>
        </w:rPr>
        <w:t>addressable Queensland Government spend</w:t>
      </w:r>
      <w:r w:rsidR="00524033">
        <w:t xml:space="preserve"> while balancing the commercial realities of current and emerging markets across Queensland.</w:t>
      </w:r>
    </w:p>
    <w:p w14:paraId="2300420B" w14:textId="77777777" w:rsidR="00BD772D" w:rsidRDefault="00BD772D" w:rsidP="00524033"/>
    <w:p w14:paraId="639ECBED" w14:textId="3DE950CF" w:rsidR="00524033" w:rsidRDefault="00524033" w:rsidP="00BD772D">
      <w:pPr>
        <w:pStyle w:val="Heading2"/>
      </w:pPr>
      <w:r>
        <w:t xml:space="preserve">What is </w:t>
      </w:r>
      <w:r w:rsidR="00830FE0">
        <w:t>A</w:t>
      </w:r>
      <w:r>
        <w:t xml:space="preserve">ddressable </w:t>
      </w:r>
      <w:r w:rsidR="00830FE0">
        <w:t>S</w:t>
      </w:r>
      <w:r>
        <w:t>pend?</w:t>
      </w:r>
    </w:p>
    <w:p w14:paraId="0BE647F9" w14:textId="77777777" w:rsidR="00BD772D" w:rsidRDefault="00BD772D" w:rsidP="00BD772D">
      <w:r>
        <w:t xml:space="preserve">Under the QIPP, the agreed definition of addressable spend is ‘the portion of the Queensland Government’s spend that can be influenced by purchasing and procurement activities including sourcing and category management’. </w:t>
      </w:r>
    </w:p>
    <w:p w14:paraId="39F8702A" w14:textId="77777777" w:rsidR="00BD772D" w:rsidRDefault="00BD772D" w:rsidP="00BD772D">
      <w:r>
        <w:t>This means the following Queensland Government spend is excluded from the addressable spend:</w:t>
      </w:r>
    </w:p>
    <w:p w14:paraId="7E8C3A34" w14:textId="77777777" w:rsidR="003E65BD" w:rsidRDefault="00BD772D" w:rsidP="00BD772D">
      <w:pPr>
        <w:pStyle w:val="ListParagraph"/>
      </w:pPr>
      <w:r>
        <w:t xml:space="preserve">• </w:t>
      </w:r>
      <w:r w:rsidR="003E65BD">
        <w:t xml:space="preserve">grants and subsidies </w:t>
      </w:r>
    </w:p>
    <w:p w14:paraId="453AA929" w14:textId="38D6C3E5" w:rsidR="00BD772D" w:rsidRDefault="00BD772D" w:rsidP="00BD772D">
      <w:pPr>
        <w:pStyle w:val="ListParagraph"/>
      </w:pPr>
      <w:r>
        <w:t xml:space="preserve">• </w:t>
      </w:r>
      <w:r w:rsidR="003E65BD">
        <w:t xml:space="preserve">employee salaries and on-costs </w:t>
      </w:r>
      <w:r>
        <w:t>cash assets</w:t>
      </w:r>
    </w:p>
    <w:p w14:paraId="47BDCEE4" w14:textId="77777777" w:rsidR="003E65BD" w:rsidRDefault="00BD772D" w:rsidP="003E65BD">
      <w:pPr>
        <w:pStyle w:val="ListParagraph"/>
      </w:pPr>
      <w:r>
        <w:t xml:space="preserve">• </w:t>
      </w:r>
      <w:r w:rsidR="003E65BD">
        <w:t xml:space="preserve">liability, equity and revenue transactions </w:t>
      </w:r>
    </w:p>
    <w:p w14:paraId="040A1166" w14:textId="77777777" w:rsidR="00BD772D" w:rsidRDefault="00BD772D" w:rsidP="00BD772D">
      <w:pPr>
        <w:pStyle w:val="ListParagraph"/>
      </w:pPr>
      <w:r>
        <w:t>• budget and accrual accounts</w:t>
      </w:r>
    </w:p>
    <w:p w14:paraId="114A2AF5" w14:textId="77777777" w:rsidR="00BD772D" w:rsidRDefault="00BD772D" w:rsidP="00BD772D">
      <w:pPr>
        <w:pStyle w:val="ListParagraph"/>
      </w:pPr>
      <w:r>
        <w:t>• borrowing costs</w:t>
      </w:r>
    </w:p>
    <w:p w14:paraId="655EB59E" w14:textId="77777777" w:rsidR="00BD772D" w:rsidRDefault="00BD772D" w:rsidP="00BD772D">
      <w:pPr>
        <w:pStyle w:val="ListParagraph"/>
      </w:pPr>
      <w:r>
        <w:t xml:space="preserve">• allowances and other payments employees </w:t>
      </w:r>
    </w:p>
    <w:p w14:paraId="7D6A6C93" w14:textId="77777777" w:rsidR="00BD772D" w:rsidRDefault="00BD772D" w:rsidP="00BD772D">
      <w:pPr>
        <w:pStyle w:val="ListParagraph"/>
      </w:pPr>
      <w:r>
        <w:t>• asset revaluation increments or decrements</w:t>
      </w:r>
    </w:p>
    <w:p w14:paraId="76D43F1B" w14:textId="77777777" w:rsidR="00BD772D" w:rsidRDefault="00BD772D" w:rsidP="00BD772D">
      <w:pPr>
        <w:pStyle w:val="ListParagraph"/>
      </w:pPr>
      <w:r>
        <w:t>• adjustments and write-off transactions</w:t>
      </w:r>
    </w:p>
    <w:p w14:paraId="4785EAD1" w14:textId="77777777" w:rsidR="00BD772D" w:rsidRDefault="00BD772D" w:rsidP="00BD772D">
      <w:pPr>
        <w:pStyle w:val="ListParagraph"/>
      </w:pPr>
      <w:r>
        <w:t>• clearing and holding account transactions</w:t>
      </w:r>
    </w:p>
    <w:p w14:paraId="778E1F13" w14:textId="77777777" w:rsidR="00BD772D" w:rsidRDefault="00BD772D" w:rsidP="00BD772D">
      <w:pPr>
        <w:pStyle w:val="ListParagraph"/>
      </w:pPr>
      <w:r>
        <w:t>• ex gratia payments</w:t>
      </w:r>
    </w:p>
    <w:p w14:paraId="224B233A" w14:textId="77777777" w:rsidR="00BD772D" w:rsidRDefault="00BD772D" w:rsidP="00BD772D">
      <w:pPr>
        <w:pStyle w:val="ListParagraph"/>
      </w:pPr>
      <w:r>
        <w:t>• dividend payments</w:t>
      </w:r>
    </w:p>
    <w:p w14:paraId="37931D58" w14:textId="77777777" w:rsidR="00BD772D" w:rsidRDefault="00BD772D" w:rsidP="00BD772D">
      <w:pPr>
        <w:pStyle w:val="ListParagraph"/>
      </w:pPr>
      <w:r>
        <w:t>• bank and QTC fees and charges (incl corporate card fees)</w:t>
      </w:r>
    </w:p>
    <w:p w14:paraId="21D9986E" w14:textId="77777777" w:rsidR="00BD772D" w:rsidRDefault="00BD772D" w:rsidP="00BD772D">
      <w:pPr>
        <w:pStyle w:val="ListParagraph"/>
      </w:pPr>
      <w:r>
        <w:t>• board member payments</w:t>
      </w:r>
    </w:p>
    <w:p w14:paraId="33B9772C" w14:textId="77777777" w:rsidR="00BD772D" w:rsidRDefault="00BD772D" w:rsidP="00BD772D">
      <w:pPr>
        <w:pStyle w:val="ListParagraph"/>
      </w:pPr>
      <w:r>
        <w:t>• fees, penalties, taxes, fines and forfeitures</w:t>
      </w:r>
    </w:p>
    <w:p w14:paraId="6D1DAA33" w14:textId="77777777" w:rsidR="00BD772D" w:rsidRDefault="00BD772D" w:rsidP="00BD772D">
      <w:pPr>
        <w:pStyle w:val="ListParagraph"/>
      </w:pPr>
      <w:r>
        <w:t>• losses and depreciation</w:t>
      </w:r>
    </w:p>
    <w:p w14:paraId="261750DA" w14:textId="77777777" w:rsidR="00BD772D" w:rsidRDefault="00BD772D" w:rsidP="00BD772D">
      <w:pPr>
        <w:pStyle w:val="ListParagraph"/>
      </w:pPr>
      <w:r>
        <w:t>• rebates and refunds</w:t>
      </w:r>
    </w:p>
    <w:p w14:paraId="67858B71" w14:textId="77777777" w:rsidR="00BD772D" w:rsidRDefault="00BD772D" w:rsidP="00BD772D">
      <w:pPr>
        <w:pStyle w:val="ListParagraph"/>
      </w:pPr>
      <w:r>
        <w:t>• accumulated amortisation</w:t>
      </w:r>
    </w:p>
    <w:p w14:paraId="09435C80" w14:textId="77777777" w:rsidR="00BD772D" w:rsidRDefault="00BD772D" w:rsidP="00BD772D">
      <w:pPr>
        <w:pStyle w:val="ListParagraph"/>
      </w:pPr>
      <w:r>
        <w:t>• system driven accounts</w:t>
      </w:r>
    </w:p>
    <w:p w14:paraId="784043EF" w14:textId="77777777" w:rsidR="00BD772D" w:rsidRDefault="00BD772D" w:rsidP="00BD772D">
      <w:pPr>
        <w:pStyle w:val="ListParagraph"/>
      </w:pPr>
      <w:r>
        <w:t>• sponsorships, donations and gifts</w:t>
      </w:r>
    </w:p>
    <w:p w14:paraId="547B12D2" w14:textId="77777777" w:rsidR="00BD772D" w:rsidRDefault="00BD772D" w:rsidP="00BD772D">
      <w:pPr>
        <w:pStyle w:val="ListParagraph"/>
      </w:pPr>
      <w:r>
        <w:t>• disaster relief and recovery</w:t>
      </w:r>
    </w:p>
    <w:p w14:paraId="108DEAD1" w14:textId="47EFC8E1" w:rsidR="00BD772D" w:rsidRDefault="00BD772D" w:rsidP="00BD772D">
      <w:pPr>
        <w:pStyle w:val="ListParagraph"/>
      </w:pPr>
      <w:r>
        <w:t>• juror expenses</w:t>
      </w:r>
    </w:p>
    <w:p w14:paraId="54FA4E1B" w14:textId="77777777" w:rsidR="00BD772D" w:rsidRDefault="00BD772D" w:rsidP="00BD772D">
      <w:pPr>
        <w:pStyle w:val="ListParagraph"/>
      </w:pPr>
    </w:p>
    <w:p w14:paraId="75A22908" w14:textId="34FC07D1" w:rsidR="00BD772D" w:rsidRDefault="00BD772D" w:rsidP="00BD772D">
      <w:pPr>
        <w:pStyle w:val="Heading2"/>
      </w:pPr>
      <w:r>
        <w:t>Is there any other government spend excluded in determining the Addressable Spend?</w:t>
      </w:r>
    </w:p>
    <w:p w14:paraId="34C4CE8B" w14:textId="448403D4" w:rsidR="00BD772D" w:rsidRDefault="00BD772D" w:rsidP="00BD772D">
      <w:r>
        <w:t xml:space="preserve">Currently excluded </w:t>
      </w:r>
      <w:r w:rsidR="003E65BD">
        <w:t xml:space="preserve">from </w:t>
      </w:r>
      <w:r>
        <w:t>QIPP</w:t>
      </w:r>
      <w:r w:rsidR="003E65BD">
        <w:t xml:space="preserve"> data is any Government spend</w:t>
      </w:r>
      <w:r>
        <w:t>:</w:t>
      </w:r>
    </w:p>
    <w:p w14:paraId="7D347678" w14:textId="77777777" w:rsidR="00BD772D" w:rsidRDefault="00BD772D" w:rsidP="00BD772D">
      <w:pPr>
        <w:pStyle w:val="ListParagraph"/>
      </w:pPr>
      <w:r>
        <w:t>• originating from corporate card spend</w:t>
      </w:r>
    </w:p>
    <w:p w14:paraId="60B1E0D6" w14:textId="77777777" w:rsidR="00BD772D" w:rsidRDefault="00BD772D" w:rsidP="00BD772D">
      <w:pPr>
        <w:pStyle w:val="ListParagraph"/>
      </w:pPr>
      <w:r>
        <w:t>• from second tier contracting (</w:t>
      </w:r>
      <w:proofErr w:type="spellStart"/>
      <w:r>
        <w:t>ie</w:t>
      </w:r>
      <w:proofErr w:type="spellEnd"/>
      <w:r>
        <w:t>. subcontracting arrangements)</w:t>
      </w:r>
    </w:p>
    <w:p w14:paraId="230B6CB4" w14:textId="313F73B8" w:rsidR="00BD772D" w:rsidRDefault="00BD772D" w:rsidP="00BD772D">
      <w:pPr>
        <w:pStyle w:val="ListParagraph"/>
      </w:pPr>
      <w:r>
        <w:t>• from Government-owned corporations and statutory bodies</w:t>
      </w:r>
    </w:p>
    <w:p w14:paraId="37FB0FA2" w14:textId="77777777" w:rsidR="00BD772D" w:rsidRDefault="00BD772D" w:rsidP="00BD772D"/>
    <w:sectPr w:rsidR="00BD772D" w:rsidSect="0068004A">
      <w:headerReference w:type="default" r:id="rId7"/>
      <w:footerReference w:type="default" r:id="rId8"/>
      <w:headerReference w:type="first" r:id="rId9"/>
      <w:footerReference w:type="first" r:id="rId10"/>
      <w:type w:val="continuous"/>
      <w:pgSz w:w="11906" w:h="16838" w:code="9"/>
      <w:pgMar w:top="1871" w:right="907" w:bottom="1701" w:left="907" w:header="680"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5E083" w14:textId="77777777" w:rsidR="00D47C36" w:rsidRDefault="00D47C36" w:rsidP="00843FBF">
      <w:r>
        <w:separator/>
      </w:r>
    </w:p>
  </w:endnote>
  <w:endnote w:type="continuationSeparator" w:id="0">
    <w:p w14:paraId="31B7B41D" w14:textId="77777777" w:rsidR="00D47C36" w:rsidRDefault="00D47C36"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A15770" w:rsidRDefault="004C6E1D" w:rsidP="004C6E1D">
    <w:pPr>
      <w:pStyle w:val="Footer"/>
      <w:tabs>
        <w:tab w:val="clear" w:pos="9498"/>
        <w:tab w:val="right" w:pos="10065"/>
      </w:tabs>
      <w:rPr>
        <w:color w:val="000000" w:themeColor="text1"/>
      </w:rPr>
    </w:pPr>
    <w:r w:rsidRPr="00A15770">
      <w:rPr>
        <w:color w:val="000000" w:themeColor="text1"/>
      </w:rPr>
      <w:t>Department of Seniors, Disability Services and Aboriginal and Torres Strait Islander Partnerships</w:t>
    </w:r>
    <w:r w:rsidR="005E1C7F" w:rsidRPr="00A15770">
      <w:rPr>
        <w:color w:val="000000" w:themeColor="text1"/>
      </w:rPr>
      <w:tab/>
    </w:r>
    <w:r w:rsidR="005E1C7F" w:rsidRPr="00A15770">
      <w:rPr>
        <w:color w:val="000000" w:themeColor="text1"/>
      </w:rPr>
      <w:fldChar w:fldCharType="begin"/>
    </w:r>
    <w:r w:rsidR="005E1C7F" w:rsidRPr="00A15770">
      <w:rPr>
        <w:color w:val="000000" w:themeColor="text1"/>
      </w:rPr>
      <w:instrText xml:space="preserve"> PAGE   \* MERGEFORMAT </w:instrText>
    </w:r>
    <w:r w:rsidR="005E1C7F" w:rsidRPr="00A15770">
      <w:rPr>
        <w:color w:val="000000" w:themeColor="text1"/>
      </w:rPr>
      <w:fldChar w:fldCharType="separate"/>
    </w:r>
    <w:r w:rsidR="00680AB8" w:rsidRPr="00A15770">
      <w:rPr>
        <w:noProof/>
        <w:color w:val="000000" w:themeColor="text1"/>
      </w:rPr>
      <w:t>2</w:t>
    </w:r>
    <w:r w:rsidR="005E1C7F" w:rsidRPr="00A15770">
      <w:rPr>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001F4645" w:rsidR="009B4E61" w:rsidRPr="00D6190F" w:rsidRDefault="00B47942">
    <w:pPr>
      <w:pStyle w:val="Footer"/>
      <w:rPr>
        <w:color w:val="000000" w:themeColor="text1"/>
      </w:rPr>
    </w:pPr>
    <w:r w:rsidRPr="00B47942">
      <w:rPr>
        <w:color w:val="000000" w:themeColor="text1"/>
      </w:rPr>
      <w:t>Department of Treaty, Aboriginal and Torres Strait Islander Partnerships, Communities and The Arts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332F" w14:textId="77777777" w:rsidR="00D47C36" w:rsidRDefault="00D47C36" w:rsidP="00843FBF">
      <w:r>
        <w:separator/>
      </w:r>
    </w:p>
  </w:footnote>
  <w:footnote w:type="continuationSeparator" w:id="0">
    <w:p w14:paraId="78CB637D" w14:textId="77777777" w:rsidR="00D47C36" w:rsidRDefault="00D47C36"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77777777" w:rsidR="00FC7681" w:rsidRPr="00A15770" w:rsidRDefault="00FC7681" w:rsidP="0022302F">
    <w:pPr>
      <w:pStyle w:val="Header"/>
      <w:rPr>
        <w:color w:val="000000" w:themeColor="text1"/>
      </w:rPr>
    </w:pPr>
    <w:r w:rsidRPr="00A15770">
      <w:rPr>
        <w:color w:val="000000" w:themeColor="text1"/>
      </w:rPr>
      <w:t xml:space="preserve">&lt;insert </w:t>
    </w:r>
    <w:r w:rsidR="00D706B5" w:rsidRPr="00A15770">
      <w:rPr>
        <w:color w:val="000000" w:themeColor="text1"/>
      </w:rPr>
      <w:t>document</w:t>
    </w:r>
    <w:r w:rsidRPr="00A15770">
      <w:rPr>
        <w:color w:val="000000" w:themeColor="text1"/>
      </w:rPr>
      <w:t xml:space="preserve"> title&gt;</w:t>
    </w:r>
  </w:p>
  <w:p w14:paraId="2A34148C" w14:textId="77777777" w:rsidR="00A15770" w:rsidRDefault="00A157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6B142C83" w:rsidR="00686F14" w:rsidRPr="0068004A" w:rsidRDefault="00166878" w:rsidP="0068004A">
    <w:pPr>
      <w:pStyle w:val="DOCUMENTTITLE"/>
      <w:jc w:val="center"/>
      <w:rPr>
        <w:sz w:val="32"/>
        <w:szCs w:val="32"/>
      </w:rPr>
    </w:pPr>
    <w:r w:rsidRPr="003465A1">
      <w:drawing>
        <wp:anchor distT="0" distB="0" distL="114300" distR="114300" simplePos="0" relativeHeight="251657728" behindDoc="1" locked="0" layoutInCell="1" allowOverlap="1" wp14:anchorId="46D0327C" wp14:editId="0F9ED24A">
          <wp:simplePos x="0" y="0"/>
          <wp:positionH relativeFrom="margin">
            <wp:posOffset>-563245</wp:posOffset>
          </wp:positionH>
          <wp:positionV relativeFrom="paragraph">
            <wp:posOffset>-419100</wp:posOffset>
          </wp:positionV>
          <wp:extent cx="7580450" cy="10633075"/>
          <wp:effectExtent l="0" t="0" r="0" b="0"/>
          <wp:wrapNone/>
          <wp:docPr id="21"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450" cy="10633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4033" w:rsidRPr="0068004A">
      <w:rPr>
        <w:bCs/>
        <w:color w:val="000000" w:themeColor="text1"/>
        <w:sz w:val="32"/>
        <w:szCs w:val="32"/>
      </w:rPr>
      <w:t>Addressable Spend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117289238">
    <w:abstractNumId w:val="9"/>
  </w:num>
  <w:num w:numId="2" w16cid:durableId="896286071">
    <w:abstractNumId w:val="12"/>
  </w:num>
  <w:num w:numId="3" w16cid:durableId="450441431">
    <w:abstractNumId w:val="14"/>
  </w:num>
  <w:num w:numId="4" w16cid:durableId="1236742715">
    <w:abstractNumId w:val="7"/>
  </w:num>
  <w:num w:numId="5" w16cid:durableId="1508860134">
    <w:abstractNumId w:val="6"/>
  </w:num>
  <w:num w:numId="6" w16cid:durableId="1670831">
    <w:abstractNumId w:val="5"/>
  </w:num>
  <w:num w:numId="7" w16cid:durableId="1607809021">
    <w:abstractNumId w:val="4"/>
  </w:num>
  <w:num w:numId="8" w16cid:durableId="1247229446">
    <w:abstractNumId w:val="8"/>
  </w:num>
  <w:num w:numId="9" w16cid:durableId="380906277">
    <w:abstractNumId w:val="3"/>
  </w:num>
  <w:num w:numId="10" w16cid:durableId="1687749715">
    <w:abstractNumId w:val="2"/>
  </w:num>
  <w:num w:numId="11" w16cid:durableId="1787238603">
    <w:abstractNumId w:val="1"/>
  </w:num>
  <w:num w:numId="12" w16cid:durableId="535001895">
    <w:abstractNumId w:val="0"/>
  </w:num>
  <w:num w:numId="13" w16cid:durableId="2005933701">
    <w:abstractNumId w:val="13"/>
  </w:num>
  <w:num w:numId="14" w16cid:durableId="961305635">
    <w:abstractNumId w:val="9"/>
  </w:num>
  <w:num w:numId="15" w16cid:durableId="238907054">
    <w:abstractNumId w:val="11"/>
  </w:num>
  <w:num w:numId="16" w16cid:durableId="1386491340">
    <w:abstractNumId w:val="8"/>
  </w:num>
  <w:num w:numId="17" w16cid:durableId="1538542639">
    <w:abstractNumId w:val="10"/>
  </w:num>
  <w:num w:numId="18" w16cid:durableId="1110442137">
    <w:abstractNumId w:val="9"/>
  </w:num>
  <w:num w:numId="19" w16cid:durableId="1760717345">
    <w:abstractNumId w:val="11"/>
  </w:num>
  <w:num w:numId="20" w16cid:durableId="442193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4"/>
    <w:rsid w:val="000212E7"/>
    <w:rsid w:val="000602C5"/>
    <w:rsid w:val="000634CC"/>
    <w:rsid w:val="000974D4"/>
    <w:rsid w:val="000E45F7"/>
    <w:rsid w:val="000E72CB"/>
    <w:rsid w:val="000F392E"/>
    <w:rsid w:val="000F7F7A"/>
    <w:rsid w:val="00103440"/>
    <w:rsid w:val="00121532"/>
    <w:rsid w:val="00132B62"/>
    <w:rsid w:val="00151CC3"/>
    <w:rsid w:val="00156C62"/>
    <w:rsid w:val="00166878"/>
    <w:rsid w:val="001719FB"/>
    <w:rsid w:val="00175796"/>
    <w:rsid w:val="00196407"/>
    <w:rsid w:val="001C3907"/>
    <w:rsid w:val="001C430F"/>
    <w:rsid w:val="001D4DD1"/>
    <w:rsid w:val="001D5147"/>
    <w:rsid w:val="002005C9"/>
    <w:rsid w:val="00220D9A"/>
    <w:rsid w:val="00222131"/>
    <w:rsid w:val="0022302F"/>
    <w:rsid w:val="00231166"/>
    <w:rsid w:val="00233909"/>
    <w:rsid w:val="002432AB"/>
    <w:rsid w:val="00265BC1"/>
    <w:rsid w:val="00270E9A"/>
    <w:rsid w:val="00274A66"/>
    <w:rsid w:val="0029264A"/>
    <w:rsid w:val="002C0A71"/>
    <w:rsid w:val="002D0835"/>
    <w:rsid w:val="002E5EED"/>
    <w:rsid w:val="00310B3A"/>
    <w:rsid w:val="00310E49"/>
    <w:rsid w:val="003465A1"/>
    <w:rsid w:val="00351776"/>
    <w:rsid w:val="00397518"/>
    <w:rsid w:val="003A0C6A"/>
    <w:rsid w:val="003C74F9"/>
    <w:rsid w:val="003D511D"/>
    <w:rsid w:val="003D6C28"/>
    <w:rsid w:val="003E50B7"/>
    <w:rsid w:val="003E5521"/>
    <w:rsid w:val="003E65BD"/>
    <w:rsid w:val="003F3C29"/>
    <w:rsid w:val="003F5145"/>
    <w:rsid w:val="004171DE"/>
    <w:rsid w:val="00421B03"/>
    <w:rsid w:val="004741F6"/>
    <w:rsid w:val="004745EC"/>
    <w:rsid w:val="00486C06"/>
    <w:rsid w:val="004903BE"/>
    <w:rsid w:val="004A18EC"/>
    <w:rsid w:val="004A1A8A"/>
    <w:rsid w:val="004A52E7"/>
    <w:rsid w:val="004B3619"/>
    <w:rsid w:val="004B49CE"/>
    <w:rsid w:val="004C6E1D"/>
    <w:rsid w:val="004C75FC"/>
    <w:rsid w:val="004D16BC"/>
    <w:rsid w:val="004D30C0"/>
    <w:rsid w:val="004D346E"/>
    <w:rsid w:val="004F2869"/>
    <w:rsid w:val="0050016D"/>
    <w:rsid w:val="00501471"/>
    <w:rsid w:val="00524033"/>
    <w:rsid w:val="005264DC"/>
    <w:rsid w:val="00543833"/>
    <w:rsid w:val="00544A69"/>
    <w:rsid w:val="0054727F"/>
    <w:rsid w:val="005472DB"/>
    <w:rsid w:val="00567569"/>
    <w:rsid w:val="005902A5"/>
    <w:rsid w:val="00592307"/>
    <w:rsid w:val="005A3C07"/>
    <w:rsid w:val="005A3CBA"/>
    <w:rsid w:val="005D7319"/>
    <w:rsid w:val="005E1C7F"/>
    <w:rsid w:val="0061433F"/>
    <w:rsid w:val="00614FD7"/>
    <w:rsid w:val="00622ECB"/>
    <w:rsid w:val="006433A1"/>
    <w:rsid w:val="006740CA"/>
    <w:rsid w:val="00677838"/>
    <w:rsid w:val="0068004A"/>
    <w:rsid w:val="00680AB8"/>
    <w:rsid w:val="00686F14"/>
    <w:rsid w:val="00694030"/>
    <w:rsid w:val="006A0C37"/>
    <w:rsid w:val="006B3F27"/>
    <w:rsid w:val="006C0C1B"/>
    <w:rsid w:val="006E32EF"/>
    <w:rsid w:val="006E6100"/>
    <w:rsid w:val="00711885"/>
    <w:rsid w:val="00747823"/>
    <w:rsid w:val="007669FD"/>
    <w:rsid w:val="00780179"/>
    <w:rsid w:val="007820CC"/>
    <w:rsid w:val="007A00DF"/>
    <w:rsid w:val="007D173A"/>
    <w:rsid w:val="007D2A59"/>
    <w:rsid w:val="00805810"/>
    <w:rsid w:val="00830FE0"/>
    <w:rsid w:val="0083359D"/>
    <w:rsid w:val="008427E8"/>
    <w:rsid w:val="00843FBF"/>
    <w:rsid w:val="008652E0"/>
    <w:rsid w:val="00873864"/>
    <w:rsid w:val="0087399A"/>
    <w:rsid w:val="0087537B"/>
    <w:rsid w:val="00881D1A"/>
    <w:rsid w:val="008D774E"/>
    <w:rsid w:val="008E5720"/>
    <w:rsid w:val="008F7AFE"/>
    <w:rsid w:val="00932749"/>
    <w:rsid w:val="00957451"/>
    <w:rsid w:val="00971CFE"/>
    <w:rsid w:val="00976742"/>
    <w:rsid w:val="00982D16"/>
    <w:rsid w:val="00983F80"/>
    <w:rsid w:val="00992490"/>
    <w:rsid w:val="009B13BF"/>
    <w:rsid w:val="009B4E61"/>
    <w:rsid w:val="009B5779"/>
    <w:rsid w:val="009B6EB7"/>
    <w:rsid w:val="009B7EDF"/>
    <w:rsid w:val="009C2EBF"/>
    <w:rsid w:val="009C5883"/>
    <w:rsid w:val="00A100A0"/>
    <w:rsid w:val="00A15770"/>
    <w:rsid w:val="00A16045"/>
    <w:rsid w:val="00A31236"/>
    <w:rsid w:val="00A31F1B"/>
    <w:rsid w:val="00A353E8"/>
    <w:rsid w:val="00A364A3"/>
    <w:rsid w:val="00A474FB"/>
    <w:rsid w:val="00A709A0"/>
    <w:rsid w:val="00A86F7D"/>
    <w:rsid w:val="00AB2C9A"/>
    <w:rsid w:val="00AE4C1A"/>
    <w:rsid w:val="00AE5A59"/>
    <w:rsid w:val="00B063BA"/>
    <w:rsid w:val="00B1641A"/>
    <w:rsid w:val="00B21AAF"/>
    <w:rsid w:val="00B47942"/>
    <w:rsid w:val="00B5711F"/>
    <w:rsid w:val="00B80CAC"/>
    <w:rsid w:val="00B92BEF"/>
    <w:rsid w:val="00B93981"/>
    <w:rsid w:val="00B9665B"/>
    <w:rsid w:val="00BB3962"/>
    <w:rsid w:val="00BB3B07"/>
    <w:rsid w:val="00BC2C31"/>
    <w:rsid w:val="00BD61F2"/>
    <w:rsid w:val="00BD772D"/>
    <w:rsid w:val="00BE52CB"/>
    <w:rsid w:val="00C16B05"/>
    <w:rsid w:val="00C350E5"/>
    <w:rsid w:val="00C57420"/>
    <w:rsid w:val="00C63246"/>
    <w:rsid w:val="00C75B08"/>
    <w:rsid w:val="00C84C81"/>
    <w:rsid w:val="00C92F7C"/>
    <w:rsid w:val="00CA1DA2"/>
    <w:rsid w:val="00CB1AD0"/>
    <w:rsid w:val="00CB5345"/>
    <w:rsid w:val="00CB5631"/>
    <w:rsid w:val="00CD239D"/>
    <w:rsid w:val="00CF0FAF"/>
    <w:rsid w:val="00CF18ED"/>
    <w:rsid w:val="00CF232B"/>
    <w:rsid w:val="00CF5EF5"/>
    <w:rsid w:val="00D47C36"/>
    <w:rsid w:val="00D576EF"/>
    <w:rsid w:val="00D6190F"/>
    <w:rsid w:val="00D706B5"/>
    <w:rsid w:val="00D8469B"/>
    <w:rsid w:val="00D84B71"/>
    <w:rsid w:val="00D92F63"/>
    <w:rsid w:val="00DC2E95"/>
    <w:rsid w:val="00DD0F9A"/>
    <w:rsid w:val="00DD3BD4"/>
    <w:rsid w:val="00E056E1"/>
    <w:rsid w:val="00E463B4"/>
    <w:rsid w:val="00E57562"/>
    <w:rsid w:val="00E9199D"/>
    <w:rsid w:val="00EA3F47"/>
    <w:rsid w:val="00EA628A"/>
    <w:rsid w:val="00ED143E"/>
    <w:rsid w:val="00EE201E"/>
    <w:rsid w:val="00F124C2"/>
    <w:rsid w:val="00F34D24"/>
    <w:rsid w:val="00F3516E"/>
    <w:rsid w:val="00F42671"/>
    <w:rsid w:val="00F4445B"/>
    <w:rsid w:val="00F834E5"/>
    <w:rsid w:val="00FA3258"/>
    <w:rsid w:val="00FC58E4"/>
    <w:rsid w:val="00FC7681"/>
    <w:rsid w:val="00FD2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style>
  <w:style w:type="paragraph" w:styleId="Heading1">
    <w:name w:val="heading 1"/>
    <w:basedOn w:val="Normal"/>
    <w:next w:val="Normal"/>
    <w:link w:val="Heading1Char"/>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C84C81"/>
    <w:rPr>
      <w:rFonts w:cs="Arial"/>
      <w:bCs/>
      <w:noProof/>
      <w:kern w:val="32"/>
      <w:sz w:val="30"/>
      <w:szCs w:val="30"/>
      <w:lang w:eastAsia="en-US"/>
    </w:rPr>
  </w:style>
  <w:style w:type="character" w:customStyle="1" w:styleId="Heading2Char">
    <w:name w:val="Heading 2 Char"/>
    <w:link w:val="Heading2"/>
    <w:rsid w:val="00C84C81"/>
    <w:rPr>
      <w:rFonts w:cs="Arial"/>
      <w:b/>
      <w:bCs/>
      <w:iCs/>
      <w:color w:val="595959" w:themeColor="text1" w:themeTint="A6"/>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ListParagraph">
    <w:name w:val="List Paragraph"/>
    <w:basedOn w:val="Normal"/>
    <w:uiPriority w:val="34"/>
    <w:qFormat/>
    <w:locked/>
    <w:rsid w:val="00BD772D"/>
    <w:pPr>
      <w:ind w:left="720"/>
      <w:contextualSpacing/>
    </w:pPr>
  </w:style>
  <w:style w:type="character" w:styleId="CommentReference">
    <w:name w:val="annotation reference"/>
    <w:basedOn w:val="DefaultParagraphFont"/>
    <w:semiHidden/>
    <w:unhideWhenUsed/>
    <w:locked/>
    <w:rsid w:val="003E65BD"/>
    <w:rPr>
      <w:sz w:val="16"/>
      <w:szCs w:val="16"/>
    </w:rPr>
  </w:style>
  <w:style w:type="paragraph" w:styleId="CommentText">
    <w:name w:val="annotation text"/>
    <w:basedOn w:val="Normal"/>
    <w:link w:val="CommentTextChar"/>
    <w:semiHidden/>
    <w:unhideWhenUsed/>
    <w:locked/>
    <w:rsid w:val="003E65BD"/>
  </w:style>
  <w:style w:type="character" w:customStyle="1" w:styleId="CommentTextChar">
    <w:name w:val="Comment Text Char"/>
    <w:basedOn w:val="DefaultParagraphFont"/>
    <w:link w:val="CommentText"/>
    <w:semiHidden/>
    <w:rsid w:val="003E65BD"/>
  </w:style>
  <w:style w:type="paragraph" w:styleId="CommentSubject">
    <w:name w:val="annotation subject"/>
    <w:basedOn w:val="CommentText"/>
    <w:next w:val="CommentText"/>
    <w:link w:val="CommentSubjectChar"/>
    <w:semiHidden/>
    <w:unhideWhenUsed/>
    <w:locked/>
    <w:rsid w:val="003E65BD"/>
    <w:rPr>
      <w:b/>
      <w:bCs/>
    </w:rPr>
  </w:style>
  <w:style w:type="character" w:customStyle="1" w:styleId="CommentSubjectChar">
    <w:name w:val="Comment Subject Char"/>
    <w:basedOn w:val="CommentTextChar"/>
    <w:link w:val="CommentSubject"/>
    <w:semiHidden/>
    <w:rsid w:val="003E6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 w:id="985278817">
      <w:bodyDiv w:val="1"/>
      <w:marLeft w:val="0"/>
      <w:marRight w:val="0"/>
      <w:marTop w:val="0"/>
      <w:marBottom w:val="0"/>
      <w:divBdr>
        <w:top w:val="none" w:sz="0" w:space="0" w:color="auto"/>
        <w:left w:val="none" w:sz="0" w:space="0" w:color="auto"/>
        <w:bottom w:val="none" w:sz="0" w:space="0" w:color="auto"/>
        <w:right w:val="none" w:sz="0" w:space="0" w:color="auto"/>
      </w:divBdr>
    </w:div>
    <w:div w:id="1168712176">
      <w:bodyDiv w:val="1"/>
      <w:marLeft w:val="0"/>
      <w:marRight w:val="0"/>
      <w:marTop w:val="0"/>
      <w:marBottom w:val="0"/>
      <w:divBdr>
        <w:top w:val="none" w:sz="0" w:space="0" w:color="auto"/>
        <w:left w:val="none" w:sz="0" w:space="0" w:color="auto"/>
        <w:bottom w:val="none" w:sz="0" w:space="0" w:color="auto"/>
        <w:right w:val="none" w:sz="0" w:space="0" w:color="auto"/>
      </w:divBdr>
    </w:div>
    <w:div w:id="13015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header2.xml" Type="http://schemas.openxmlformats.org/officeDocument/2006/relationships/header"/>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_rels/settings.xml.rels><?xml version="1.0" encoding="UTF-8" standalone="yes"?>
<Relationships xmlns="http://schemas.openxmlformats.org/package/2006/relationships">
<Relationship Id="rId1" Target="file:///C:/Documents%20and%20Settings/dconnell/Desktop/doc-factsheet-childsafety-top%20-%20%20LH.dot"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doc-factsheet-childsafety-top -  LH.dot</Template>
  <TotalTime>5</TotalTime>
  <Pages>1</Pages>
  <Words>251</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DSDSATSIP Factsheet template</vt:lpstr>
    </vt:vector>
  </TitlesOfParts>
  <Manager/>
  <Company>Queensland Government</Company>
  <LinksUpToDate>false</LinksUpToDate>
  <CharactersWithSpaces>1916</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Factsheet template</cp:category>
  <dcterms:created xsi:type="dcterms:W3CDTF">2023-06-15T01:19:00Z</dcterms:created>
  <dc:creator>Queensland Government</dc:creator>
  <dc:description>Solid agenda factsheet template in A4 portrait</dc:description>
  <cp:keywords>qipp, addressable spend</cp:keywords>
  <cp:lastModifiedBy>Russell W Black</cp:lastModifiedBy>
  <cp:lastPrinted>2009-04-20T04:42:00Z</cp:lastPrinted>
  <dcterms:modified xsi:type="dcterms:W3CDTF">2023-06-16T05:04:00Z</dcterms:modified>
  <cp:revision>4</cp:revision>
  <dc:subject>Under the QIPP, the agreed definition of addressable spend is the portion of the Queensland GovernmentÃ¢jQuery112005323820990447183_1687128480711s spend that can be influenced by purchasing and procurement activities including sourcing and category management</dc:subject>
  <dc:title>Addressable Spend</dc:title>
</cp:coreProperties>
</file>